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21C" w14:textId="77777777" w:rsidR="00790B3C" w:rsidRPr="00790B3C" w:rsidRDefault="00790B3C" w:rsidP="00790B3C">
      <w:pPr>
        <w:shd w:val="clear" w:color="auto" w:fill="FAFAFC"/>
        <w:spacing w:after="0" w:line="240" w:lineRule="auto"/>
        <w:outlineLvl w:val="0"/>
        <w:rPr>
          <w:rFonts w:ascii="Noto Sans" w:eastAsia="Times New Roman" w:hAnsi="Noto Sans" w:cs="Noto Sans"/>
          <w:kern w:val="36"/>
          <w:sz w:val="48"/>
          <w:szCs w:val="48"/>
          <w:lang w:eastAsia="pl-PL"/>
          <w14:ligatures w14:val="none"/>
        </w:rPr>
      </w:pPr>
      <w:r w:rsidRPr="00790B3C">
        <w:rPr>
          <w:rFonts w:ascii="Noto Sans" w:eastAsia="Times New Roman" w:hAnsi="Noto Sans" w:cs="Noto Sans"/>
          <w:kern w:val="36"/>
          <w:sz w:val="24"/>
          <w:szCs w:val="24"/>
          <w:lang w:eastAsia="pl-PL"/>
          <w14:ligatures w14:val="none"/>
        </w:rPr>
        <w:t>Objaśnienie KS 2.4.12:</w:t>
      </w:r>
      <w:r w:rsidRPr="00790B3C">
        <w:rPr>
          <w:rFonts w:ascii="Noto Sans" w:eastAsia="Times New Roman" w:hAnsi="Noto Sans" w:cs="Noto Sans"/>
          <w:kern w:val="36"/>
          <w:sz w:val="48"/>
          <w:szCs w:val="48"/>
          <w:lang w:eastAsia="pl-PL"/>
          <w14:ligatures w14:val="none"/>
        </w:rPr>
        <w:t>Fokus niezakryty (ulepszony) (poziom AAA)</w:t>
      </w:r>
    </w:p>
    <w:p w14:paraId="2DB0A92A" w14:textId="77777777" w:rsidR="00790B3C" w:rsidRPr="00790B3C" w:rsidRDefault="00790B3C" w:rsidP="00790B3C">
      <w:pPr>
        <w:shd w:val="clear" w:color="auto" w:fill="FAFAFC"/>
        <w:spacing w:before="240" w:after="240" w:line="240" w:lineRule="auto"/>
        <w:rPr>
          <w:rFonts w:ascii="Noto Sans" w:eastAsia="Times New Roman" w:hAnsi="Noto Sans" w:cs="Noto Sans"/>
          <w:color w:val="1D1D1D"/>
          <w:kern w:val="0"/>
          <w:sz w:val="24"/>
          <w:szCs w:val="24"/>
          <w:lang w:eastAsia="pl-PL"/>
          <w14:ligatures w14:val="none"/>
        </w:rPr>
      </w:pPr>
      <w:hyperlink r:id="rId5" w:history="1">
        <w:r w:rsidRPr="00790B3C">
          <w:rPr>
            <w:rFonts w:ascii="Noto Sans" w:eastAsia="Times New Roman" w:hAnsi="Noto Sans" w:cs="Noto Sans"/>
            <w:color w:val="0000FF"/>
            <w:kern w:val="0"/>
            <w:sz w:val="24"/>
            <w:szCs w:val="24"/>
            <w:u w:val="single"/>
            <w:lang w:eastAsia="pl-PL"/>
            <w14:ligatures w14:val="none"/>
          </w:rPr>
          <w:t>Pobierz plik Word</w:t>
        </w:r>
      </w:hyperlink>
      <w:r w:rsidRPr="00790B3C">
        <w:rPr>
          <w:rFonts w:ascii="Noto Sans" w:eastAsia="Times New Roman" w:hAnsi="Noto Sans" w:cs="Noto Sans"/>
          <w:color w:val="1D1D1D"/>
          <w:kern w:val="0"/>
          <w:sz w:val="24"/>
          <w:szCs w:val="24"/>
          <w:lang w:eastAsia="pl-PL"/>
          <w14:ligatures w14:val="none"/>
        </w:rPr>
        <w:t> (umożliwia porównanie wersji angielskiej i polskiej; wersja opublikowana na stronie może się nieznacznie różnić - jest aktualniejsza)</w:t>
      </w:r>
    </w:p>
    <w:p w14:paraId="6D56848D" w14:textId="77777777" w:rsidR="00790B3C" w:rsidRPr="00790B3C" w:rsidRDefault="00790B3C" w:rsidP="00790B3C">
      <w:pPr>
        <w:spacing w:after="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Kryterium sukcesu (KS)</w:t>
      </w:r>
    </w:p>
    <w:p w14:paraId="2B27FC53" w14:textId="77777777" w:rsidR="00790B3C" w:rsidRPr="00790B3C" w:rsidRDefault="00790B3C" w:rsidP="00790B3C">
      <w:pPr>
        <w:spacing w:after="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Gdy </w:t>
      </w:r>
      <w:hyperlink r:id="rId6" w:anchor="dfn-user-interface-component" w:history="1">
        <w:r w:rsidRPr="00790B3C">
          <w:rPr>
            <w:rFonts w:ascii="Times New Roman" w:eastAsia="Times New Roman" w:hAnsi="Times New Roman" w:cs="Times New Roman"/>
            <w:color w:val="0000FF"/>
            <w:kern w:val="0"/>
            <w:sz w:val="24"/>
            <w:szCs w:val="24"/>
            <w:u w:val="single"/>
            <w:lang w:eastAsia="pl-PL"/>
            <w14:ligatures w14:val="none"/>
          </w:rPr>
          <w:t>komponent interfejsu użytkownika</w:t>
        </w:r>
      </w:hyperlink>
      <w:r w:rsidRPr="00790B3C">
        <w:rPr>
          <w:rFonts w:ascii="Times New Roman" w:eastAsia="Times New Roman" w:hAnsi="Times New Roman" w:cs="Times New Roman"/>
          <w:kern w:val="0"/>
          <w:sz w:val="24"/>
          <w:szCs w:val="24"/>
          <w:lang w:eastAsia="pl-PL"/>
          <w14:ligatures w14:val="none"/>
        </w:rPr>
        <w:t> otrzymuje fokus klawiatury, żadna część komponentu nie może być zakryta przez treść stworzoną przez autora.</w:t>
      </w:r>
    </w:p>
    <w:p w14:paraId="3807D398" w14:textId="77777777" w:rsidR="00790B3C" w:rsidRPr="00790B3C" w:rsidRDefault="00790B3C" w:rsidP="00790B3C">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790B3C">
        <w:rPr>
          <w:rFonts w:ascii="Times New Roman" w:eastAsia="Times New Roman" w:hAnsi="Times New Roman" w:cs="Times New Roman"/>
          <w:b/>
          <w:bCs/>
          <w:kern w:val="0"/>
          <w:sz w:val="36"/>
          <w:szCs w:val="36"/>
          <w:lang w:eastAsia="pl-PL"/>
          <w14:ligatures w14:val="none"/>
        </w:rPr>
        <w:t>W skrócie</w:t>
      </w:r>
    </w:p>
    <w:p w14:paraId="1F4D4716" w14:textId="77777777" w:rsidR="00790B3C" w:rsidRPr="00790B3C" w:rsidRDefault="00790B3C" w:rsidP="00790B3C">
      <w:pPr>
        <w:spacing w:after="0" w:line="240" w:lineRule="auto"/>
        <w:rPr>
          <w:rFonts w:ascii="Times New Roman" w:eastAsia="Times New Roman" w:hAnsi="Times New Roman" w:cs="Times New Roman"/>
          <w:b/>
          <w:bCs/>
          <w:kern w:val="0"/>
          <w:sz w:val="24"/>
          <w:szCs w:val="24"/>
          <w:lang w:eastAsia="pl-PL"/>
          <w14:ligatures w14:val="none"/>
        </w:rPr>
      </w:pPr>
      <w:r w:rsidRPr="00790B3C">
        <w:rPr>
          <w:rFonts w:ascii="Times New Roman" w:eastAsia="Times New Roman" w:hAnsi="Times New Roman" w:cs="Times New Roman"/>
          <w:b/>
          <w:bCs/>
          <w:kern w:val="0"/>
          <w:sz w:val="24"/>
          <w:szCs w:val="24"/>
          <w:lang w:eastAsia="pl-PL"/>
          <w14:ligatures w14:val="none"/>
        </w:rPr>
        <w:t>Cel</w:t>
      </w:r>
    </w:p>
    <w:p w14:paraId="72ACDACD" w14:textId="77777777" w:rsidR="00790B3C" w:rsidRPr="00790B3C" w:rsidRDefault="00790B3C" w:rsidP="00790B3C">
      <w:pPr>
        <w:spacing w:after="0" w:line="240" w:lineRule="auto"/>
        <w:ind w:left="720"/>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Nie zasłaniaj żadnej części elementu z fokusem.</w:t>
      </w:r>
    </w:p>
    <w:p w14:paraId="6C52D312" w14:textId="77777777" w:rsidR="00790B3C" w:rsidRPr="00790B3C" w:rsidRDefault="00790B3C" w:rsidP="00790B3C">
      <w:pPr>
        <w:spacing w:before="120" w:after="0" w:line="240" w:lineRule="auto"/>
        <w:ind w:left="480"/>
        <w:rPr>
          <w:rFonts w:ascii="Times New Roman" w:eastAsia="Times New Roman" w:hAnsi="Times New Roman" w:cs="Times New Roman"/>
          <w:b/>
          <w:bCs/>
          <w:kern w:val="0"/>
          <w:sz w:val="24"/>
          <w:szCs w:val="24"/>
          <w:lang w:eastAsia="pl-PL"/>
          <w14:ligatures w14:val="none"/>
        </w:rPr>
      </w:pPr>
      <w:r w:rsidRPr="00790B3C">
        <w:rPr>
          <w:rFonts w:ascii="Times New Roman" w:eastAsia="Times New Roman" w:hAnsi="Times New Roman" w:cs="Times New Roman"/>
          <w:b/>
          <w:bCs/>
          <w:kern w:val="0"/>
          <w:sz w:val="24"/>
          <w:szCs w:val="24"/>
          <w:lang w:eastAsia="pl-PL"/>
          <w14:ligatures w14:val="none"/>
        </w:rPr>
        <w:t>Co zrobić</w:t>
      </w:r>
    </w:p>
    <w:p w14:paraId="40784942" w14:textId="77777777" w:rsidR="00790B3C" w:rsidRPr="00790B3C" w:rsidRDefault="00790B3C" w:rsidP="00790B3C">
      <w:pPr>
        <w:spacing w:after="0" w:line="240" w:lineRule="auto"/>
        <w:ind w:left="720"/>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Zapewnij, że element, który otrzymuje fokus klawiatury, jest w pełni widoczny.</w:t>
      </w:r>
    </w:p>
    <w:p w14:paraId="619F3C38" w14:textId="77777777" w:rsidR="00790B3C" w:rsidRPr="00790B3C" w:rsidRDefault="00790B3C" w:rsidP="00790B3C">
      <w:pPr>
        <w:spacing w:before="120" w:after="0" w:line="240" w:lineRule="auto"/>
        <w:ind w:left="960"/>
        <w:rPr>
          <w:rFonts w:ascii="Times New Roman" w:eastAsia="Times New Roman" w:hAnsi="Times New Roman" w:cs="Times New Roman"/>
          <w:b/>
          <w:bCs/>
          <w:kern w:val="0"/>
          <w:sz w:val="24"/>
          <w:szCs w:val="24"/>
          <w:lang w:eastAsia="pl-PL"/>
          <w14:ligatures w14:val="none"/>
        </w:rPr>
      </w:pPr>
      <w:r w:rsidRPr="00790B3C">
        <w:rPr>
          <w:rFonts w:ascii="Times New Roman" w:eastAsia="Times New Roman" w:hAnsi="Times New Roman" w:cs="Times New Roman"/>
          <w:b/>
          <w:bCs/>
          <w:kern w:val="0"/>
          <w:sz w:val="24"/>
          <w:szCs w:val="24"/>
          <w:lang w:eastAsia="pl-PL"/>
          <w14:ligatures w14:val="none"/>
        </w:rPr>
        <w:t>Dlaczego to jest ważne</w:t>
      </w:r>
    </w:p>
    <w:p w14:paraId="34D628FB" w14:textId="77777777" w:rsidR="00790B3C" w:rsidRPr="00790B3C" w:rsidRDefault="00790B3C" w:rsidP="00790B3C">
      <w:pPr>
        <w:spacing w:after="0" w:line="240" w:lineRule="auto"/>
        <w:ind w:left="720"/>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Osoby, które nie mogą korzystać z myszy, muszą widzieć element, który ma fokus klawiatury.</w:t>
      </w:r>
    </w:p>
    <w:p w14:paraId="16EEE999" w14:textId="77777777" w:rsidR="00790B3C" w:rsidRPr="00790B3C" w:rsidRDefault="00790B3C" w:rsidP="00790B3C">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790B3C">
        <w:rPr>
          <w:rFonts w:ascii="Times New Roman" w:eastAsia="Times New Roman" w:hAnsi="Times New Roman" w:cs="Times New Roman"/>
          <w:b/>
          <w:bCs/>
          <w:kern w:val="0"/>
          <w:sz w:val="36"/>
          <w:szCs w:val="36"/>
          <w:lang w:eastAsia="pl-PL"/>
          <w14:ligatures w14:val="none"/>
        </w:rPr>
        <w:t>Intencja</w:t>
      </w:r>
    </w:p>
    <w:p w14:paraId="66843FD6"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Celem tego kryterium sukcesu jest zapewnienie, że element, który otrzymuje fokus klawiatury, jest zawsze widoczny w rzutni użytkownika. Dla osób widzących, które używają klawiatury lub urządzenia korzystającego z interfejsu klawiatury (takiego jak przełącznik lub wprowadzanie głosowe), informacja o aktualnym miejscu fokusu ma kluczowe znaczenie. Komponent z fokusem sygnalizuje punkt interakcji na stronie. Gdy użytkownicy nie widzą elementu z fokusem, mogą nie wiedzieć, jak postępować, lub mogą nawet pomyśleć, że system przestał reagować.</w:t>
      </w:r>
    </w:p>
    <w:p w14:paraId="7A91E9DA"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Typowe rodzaje treści, które mogą nakładać się na elementy z fokusem, to przyklejane stopki, przyklejane nagłówki i niemodalne okna dialogowe. Gdy użytkownik nawiguje tabulatorem po stronie, to te warstwy treści mogą ukryć element, który otrzymuje fokus wraz ze wskaźnikiem fokusu.</w:t>
      </w:r>
    </w:p>
    <w:p w14:paraId="4AC54CBA"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Powiadomienie zaimplementowane jako przyklejona treść, np. okienko ciasteczek, nie spełni tego kryterium sukcesu, jeśli częściowo zakryje element, który ma fokus klawiatury. Sposoby spełnienia tego wymogu uwzględniają np. uczynienie okienka modalnym, aby użytkownik musiał je zamknąć przed nawigacją po stronie, lub użycie </w:t>
      </w:r>
      <w:hyperlink r:id="rId7" w:anchor="propdef-scroll-padding" w:history="1">
        <w:r w:rsidRPr="00790B3C">
          <w:rPr>
            <w:rFonts w:ascii="Times New Roman" w:eastAsia="Times New Roman" w:hAnsi="Times New Roman" w:cs="Times New Roman"/>
            <w:color w:val="0000FF"/>
            <w:kern w:val="0"/>
            <w:sz w:val="24"/>
            <w:szCs w:val="24"/>
            <w:u w:val="single"/>
            <w:lang w:eastAsia="pl-PL"/>
            <w14:ligatures w14:val="none"/>
          </w:rPr>
          <w:t>dopełnienia przewijania</w:t>
        </w:r>
      </w:hyperlink>
      <w:r w:rsidRPr="00790B3C">
        <w:rPr>
          <w:rFonts w:ascii="Times New Roman" w:eastAsia="Times New Roman" w:hAnsi="Times New Roman" w:cs="Times New Roman"/>
          <w:kern w:val="0"/>
          <w:sz w:val="24"/>
          <w:szCs w:val="24"/>
          <w:lang w:eastAsia="pl-PL"/>
          <w14:ligatures w14:val="none"/>
        </w:rPr>
        <w:t>, aby okienko nie nachodziło na inną treść. Powiadomienia, które nie wymagają działania użytkownika, mogą również spełniać to kryterium, zamykając się po utracie fokusu.</w:t>
      </w:r>
    </w:p>
    <w:p w14:paraId="0E1D5137"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lastRenderedPageBreak/>
        <w:t xml:space="preserve">Inna forma zasłaniania może wystąpić, gdy </w:t>
      </w:r>
      <w:proofErr w:type="spellStart"/>
      <w:r w:rsidRPr="00790B3C">
        <w:rPr>
          <w:rFonts w:ascii="Times New Roman" w:eastAsia="Times New Roman" w:hAnsi="Times New Roman" w:cs="Times New Roman"/>
          <w:kern w:val="0"/>
          <w:sz w:val="24"/>
          <w:szCs w:val="24"/>
          <w:lang w:eastAsia="pl-PL"/>
          <w14:ligatures w14:val="none"/>
        </w:rPr>
        <w:t>Lightbox</w:t>
      </w:r>
      <w:proofErr w:type="spellEnd"/>
      <w:r w:rsidRPr="00790B3C">
        <w:rPr>
          <w:rFonts w:ascii="Times New Roman" w:eastAsia="Times New Roman" w:hAnsi="Times New Roman" w:cs="Times New Roman"/>
          <w:kern w:val="0"/>
          <w:sz w:val="24"/>
          <w:szCs w:val="24"/>
          <w:lang w:eastAsia="pl-PL"/>
          <w14:ligatures w14:val="none"/>
        </w:rPr>
        <w:t xml:space="preserve"> lub inne półprzezroczyste efekty nakładają się na element z fokusem. Ta forma zasłaniania </w:t>
      </w:r>
      <w:r w:rsidRPr="00790B3C">
        <w:rPr>
          <w:rFonts w:ascii="Times New Roman" w:eastAsia="Times New Roman" w:hAnsi="Times New Roman" w:cs="Times New Roman"/>
          <w:i/>
          <w:iCs/>
          <w:kern w:val="0"/>
          <w:sz w:val="24"/>
          <w:szCs w:val="24"/>
          <w:lang w:eastAsia="pl-PL"/>
          <w14:ligatures w14:val="none"/>
        </w:rPr>
        <w:t>nie</w:t>
      </w:r>
      <w:r w:rsidRPr="00790B3C">
        <w:rPr>
          <w:rFonts w:ascii="Times New Roman" w:eastAsia="Times New Roman" w:hAnsi="Times New Roman" w:cs="Times New Roman"/>
          <w:kern w:val="0"/>
          <w:sz w:val="24"/>
          <w:szCs w:val="24"/>
          <w:lang w:eastAsia="pl-PL"/>
          <w14:ligatures w14:val="none"/>
        </w:rPr>
        <w:t> wchodzi w zakres tego kryterium sukcesu. Chociaż zakrycie mniejsze niż 100 procent nie powoduje zakrycia komponentu, takie półprzezroczyste nakładanie się może spowodować niespełnienie KS </w:t>
      </w:r>
      <w:hyperlink r:id="rId8" w:history="1">
        <w:r w:rsidRPr="00790B3C">
          <w:rPr>
            <w:rFonts w:ascii="Times New Roman" w:eastAsia="Times New Roman" w:hAnsi="Times New Roman" w:cs="Times New Roman"/>
            <w:color w:val="0000FF"/>
            <w:kern w:val="0"/>
            <w:sz w:val="24"/>
            <w:szCs w:val="24"/>
            <w:u w:val="single"/>
            <w:lang w:eastAsia="pl-PL"/>
            <w14:ligatures w14:val="none"/>
          </w:rPr>
          <w:t>2.4.11 Wygląd fokusu</w:t>
        </w:r>
      </w:hyperlink>
      <w:r w:rsidRPr="00790B3C">
        <w:rPr>
          <w:rFonts w:ascii="Times New Roman" w:eastAsia="Times New Roman" w:hAnsi="Times New Roman" w:cs="Times New Roman"/>
          <w:kern w:val="0"/>
          <w:sz w:val="24"/>
          <w:szCs w:val="24"/>
          <w:lang w:eastAsia="pl-PL"/>
          <w14:ligatures w14:val="none"/>
        </w:rPr>
        <w:t>. Jeżeli wskaźnik fokusu może być przykryty przez półprzezroczysty element, wskaźnik fokusu należy ocenić w oparciu o KS 2.4.11. Intencją w obu przypadkach jest, aby komponent otrzymujący fokus nigdy nie był zasłonięty do tego stopnia, że ​​użytkownik nie będzie w stanie określić, który element ma fokus.</w:t>
      </w:r>
    </w:p>
    <w:p w14:paraId="15C17610" w14:textId="77777777" w:rsidR="00790B3C" w:rsidRPr="00790B3C" w:rsidRDefault="00790B3C" w:rsidP="00790B3C">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790B3C">
        <w:rPr>
          <w:rFonts w:ascii="Times New Roman" w:eastAsia="Times New Roman" w:hAnsi="Times New Roman" w:cs="Times New Roman"/>
          <w:b/>
          <w:bCs/>
          <w:kern w:val="0"/>
          <w:sz w:val="36"/>
          <w:szCs w:val="36"/>
          <w:lang w:eastAsia="pl-PL"/>
          <w14:ligatures w14:val="none"/>
        </w:rPr>
        <w:t>Korzyści</w:t>
      </w:r>
    </w:p>
    <w:p w14:paraId="39DAF770" w14:textId="77777777" w:rsidR="00790B3C" w:rsidRPr="00790B3C" w:rsidRDefault="00790B3C" w:rsidP="00790B3C">
      <w:pPr>
        <w:numPr>
          <w:ilvl w:val="0"/>
          <w:numId w:val="8"/>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Widzący użytkownicy, którzy w obsłudze strony polegają na interfejsie klawiatury, będą mogli zobaczyć komponent, który uzyskuje fokus klawiatury. Do takich użytkowników należą ci, którzy polegają na klawiaturze lub urządzeniach korzystających z interfejsu klawiatury, w tym na poleceniach głosowych, oprogramowaniu typu dmuchnij-wciągnij (</w:t>
      </w:r>
      <w:proofErr w:type="spellStart"/>
      <w:r w:rsidRPr="00790B3C">
        <w:rPr>
          <w:rFonts w:ascii="Times New Roman" w:eastAsia="Times New Roman" w:hAnsi="Times New Roman" w:cs="Times New Roman"/>
          <w:kern w:val="0"/>
          <w:sz w:val="24"/>
          <w:szCs w:val="24"/>
          <w:lang w:eastAsia="pl-PL"/>
          <w14:ligatures w14:val="none"/>
        </w:rPr>
        <w:t>sip</w:t>
      </w:r>
      <w:proofErr w:type="spellEnd"/>
      <w:r w:rsidRPr="00790B3C">
        <w:rPr>
          <w:rFonts w:ascii="Times New Roman" w:eastAsia="Times New Roman" w:hAnsi="Times New Roman" w:cs="Times New Roman"/>
          <w:kern w:val="0"/>
          <w:sz w:val="24"/>
          <w:szCs w:val="24"/>
          <w:lang w:eastAsia="pl-PL"/>
          <w14:ligatures w14:val="none"/>
        </w:rPr>
        <w:t>-and-puff), klawiaturach ekranowych, oprogramowaniu do skanowania oraz różnych technologiach wspomagających i alternatywnych klawiaturach.</w:t>
      </w:r>
    </w:p>
    <w:p w14:paraId="2053634C" w14:textId="77777777" w:rsidR="00790B3C" w:rsidRPr="00790B3C" w:rsidRDefault="00790B3C" w:rsidP="00790B3C">
      <w:pPr>
        <w:numPr>
          <w:ilvl w:val="0"/>
          <w:numId w:val="8"/>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Osoby z ograniczonym lub słabym wzrokiem, które mogą przede wszystkim używać wskaźnika do orientacji na ekranie i zmiany położenia, korzystają z wyraźnie widocznego wskazania bieżącego punktu interakcji z klawiaturą, szczególnie tam, gdzie powiększenie zmniejsza ogólną wyświetlaną część treści.</w:t>
      </w:r>
    </w:p>
    <w:p w14:paraId="3A152BC2" w14:textId="77777777" w:rsidR="00790B3C" w:rsidRPr="00790B3C" w:rsidRDefault="00790B3C" w:rsidP="00790B3C">
      <w:pPr>
        <w:numPr>
          <w:ilvl w:val="0"/>
          <w:numId w:val="8"/>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Osoby z ograniczeniami uwagi, pamięci krótkotrwałej lub ograniczeniami w wykonywaniu czynności odnoszą korzyści, ponieważ mogą łatwiej odkryć, gdzie znajduje się fokus.</w:t>
      </w:r>
    </w:p>
    <w:p w14:paraId="593C8073" w14:textId="77777777" w:rsidR="00790B3C" w:rsidRPr="00790B3C" w:rsidRDefault="00790B3C" w:rsidP="00790B3C">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790B3C">
        <w:rPr>
          <w:rFonts w:ascii="Times New Roman" w:eastAsia="Times New Roman" w:hAnsi="Times New Roman" w:cs="Times New Roman"/>
          <w:b/>
          <w:bCs/>
          <w:kern w:val="0"/>
          <w:sz w:val="36"/>
          <w:szCs w:val="36"/>
          <w:lang w:eastAsia="pl-PL"/>
          <w14:ligatures w14:val="none"/>
        </w:rPr>
        <w:t>Przykłady</w:t>
      </w:r>
    </w:p>
    <w:p w14:paraId="0118A6DB" w14:textId="77777777" w:rsidR="00790B3C" w:rsidRPr="00790B3C" w:rsidRDefault="00790B3C" w:rsidP="00790B3C">
      <w:pPr>
        <w:numPr>
          <w:ilvl w:val="0"/>
          <w:numId w:val="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Strona ma przyklejoną stopkę (przymocowaną u dołu rzutni). Podczas przewijania strony w dół element z fokusem nie jest całkowicie ukrywany przez stopkę, ponieważ treść w rzutni przewija się w górę, aby zawsze wyświetlać element z fokusem klawiatury za pomocą </w:t>
      </w:r>
      <w:hyperlink r:id="rId9" w:anchor="propdef-scroll-padding" w:history="1">
        <w:r w:rsidRPr="00790B3C">
          <w:rPr>
            <w:rFonts w:ascii="Times New Roman" w:eastAsia="Times New Roman" w:hAnsi="Times New Roman" w:cs="Times New Roman"/>
            <w:color w:val="0000FF"/>
            <w:kern w:val="0"/>
            <w:sz w:val="24"/>
            <w:szCs w:val="24"/>
            <w:u w:val="single"/>
            <w:lang w:eastAsia="pl-PL"/>
            <w14:ligatures w14:val="none"/>
          </w:rPr>
          <w:t>dopełnienia przewijania</w:t>
        </w:r>
      </w:hyperlink>
      <w:r w:rsidRPr="00790B3C">
        <w:rPr>
          <w:rFonts w:ascii="Times New Roman" w:eastAsia="Times New Roman" w:hAnsi="Times New Roman" w:cs="Times New Roman"/>
          <w:kern w:val="0"/>
          <w:sz w:val="24"/>
          <w:szCs w:val="24"/>
          <w:lang w:eastAsia="pl-PL"/>
          <w14:ligatures w14:val="none"/>
        </w:rPr>
        <w:t>.</w:t>
      </w:r>
    </w:p>
    <w:p w14:paraId="29C5C254" w14:textId="77777777" w:rsidR="00790B3C" w:rsidRPr="00790B3C" w:rsidRDefault="00790B3C" w:rsidP="00790B3C">
      <w:pPr>
        <w:numPr>
          <w:ilvl w:val="0"/>
          <w:numId w:val="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Na stronie znajduje się duże (o szerokości 30%) okno dialogowe do akceptacji plików cookie. Okno dialogowe jest modalne, co zapobiega dostępowi do innych elementów sterujących na stronie, dopóki nie zostanie zamknięte. Fokus nie jest zasłonięty, ponieważ okno dialogowe zatwierdzania plików cookie (w tym wskaźnik fokusu) pozostaje na ekranie do czasu dokonania wyboru i wysłania.</w:t>
      </w:r>
    </w:p>
    <w:p w14:paraId="22BCCEC9" w14:textId="77777777" w:rsidR="00790B3C" w:rsidRPr="00790B3C" w:rsidRDefault="00790B3C" w:rsidP="00790B3C">
      <w:pPr>
        <w:numPr>
          <w:ilvl w:val="0"/>
          <w:numId w:val="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Powiadomienie jest wyświetlane w postaci przyklejonego nagłówka, a fokus klawiatury jest przenoszony na powiadomienie. Powiadomienie znika, gdy traci fokus, więc nie zasłania żadnych innych elementów sterujących (w tym wskaźnika fokusu widocznego przed powiadomieniem).</w:t>
      </w:r>
    </w:p>
    <w:p w14:paraId="4055B1D3" w14:textId="77777777" w:rsidR="00790B3C" w:rsidRPr="00790B3C" w:rsidRDefault="00790B3C" w:rsidP="00790B3C">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790B3C">
        <w:rPr>
          <w:rFonts w:ascii="Times New Roman" w:eastAsia="Times New Roman" w:hAnsi="Times New Roman" w:cs="Times New Roman"/>
          <w:b/>
          <w:bCs/>
          <w:kern w:val="0"/>
          <w:sz w:val="36"/>
          <w:szCs w:val="36"/>
          <w:lang w:eastAsia="pl-PL"/>
          <w14:ligatures w14:val="none"/>
        </w:rPr>
        <w:lastRenderedPageBreak/>
        <w:t>Techniki</w:t>
      </w:r>
    </w:p>
    <w:p w14:paraId="3293C1B5"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Każdy numerowany element w tej sekcji reprezentuje technikę lub kombinację technik, które grupa robocza WCAG uważa za wystarczające do spełnienia tego kryterium sukcesu. Nie jest jednak konieczne stosowanie tych konkretnych technik. Aby uzyskać informacje na temat korzystania z innych technik, zobacz </w:t>
      </w:r>
      <w:hyperlink r:id="rId10" w:history="1">
        <w:r w:rsidRPr="00790B3C">
          <w:rPr>
            <w:rFonts w:ascii="Times New Roman" w:eastAsia="Times New Roman" w:hAnsi="Times New Roman" w:cs="Times New Roman"/>
            <w:color w:val="0000FF"/>
            <w:kern w:val="0"/>
            <w:sz w:val="24"/>
            <w:szCs w:val="24"/>
            <w:u w:val="single"/>
            <w:lang w:eastAsia="pl-PL"/>
            <w14:ligatures w14:val="none"/>
          </w:rPr>
          <w:t>Objaśnienie technik dla kryteriów sukcesu WCAG</w:t>
        </w:r>
      </w:hyperlink>
      <w:r w:rsidRPr="00790B3C">
        <w:rPr>
          <w:rFonts w:ascii="Times New Roman" w:eastAsia="Times New Roman" w:hAnsi="Times New Roman" w:cs="Times New Roman"/>
          <w:kern w:val="0"/>
          <w:sz w:val="24"/>
          <w:szCs w:val="24"/>
          <w:lang w:eastAsia="pl-PL"/>
          <w14:ligatures w14:val="none"/>
        </w:rPr>
        <w:t>, w szczególności sekcję „Inne techniki”.</w:t>
      </w:r>
    </w:p>
    <w:p w14:paraId="697B1B03" w14:textId="77777777" w:rsidR="00790B3C" w:rsidRPr="00790B3C" w:rsidRDefault="00790B3C" w:rsidP="00790B3C">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790B3C">
        <w:rPr>
          <w:rFonts w:ascii="Times New Roman" w:eastAsia="Times New Roman" w:hAnsi="Times New Roman" w:cs="Times New Roman"/>
          <w:b/>
          <w:bCs/>
          <w:kern w:val="0"/>
          <w:sz w:val="27"/>
          <w:szCs w:val="27"/>
          <w:lang w:eastAsia="pl-PL"/>
          <w14:ligatures w14:val="none"/>
        </w:rPr>
        <w:t>Wystarczające techniki</w:t>
      </w:r>
    </w:p>
    <w:p w14:paraId="32C82F43" w14:textId="77777777" w:rsidR="00790B3C" w:rsidRPr="00790B3C" w:rsidRDefault="00790B3C" w:rsidP="00790B3C">
      <w:pPr>
        <w:numPr>
          <w:ilvl w:val="0"/>
          <w:numId w:val="10"/>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11" w:history="1">
        <w:r w:rsidRPr="00790B3C">
          <w:rPr>
            <w:rFonts w:ascii="Times New Roman" w:eastAsia="Times New Roman" w:hAnsi="Times New Roman" w:cs="Times New Roman"/>
            <w:color w:val="0000FF"/>
            <w:kern w:val="0"/>
            <w:sz w:val="24"/>
            <w:szCs w:val="24"/>
            <w:u w:val="single"/>
            <w:lang w:eastAsia="pl-PL"/>
            <w14:ligatures w14:val="none"/>
          </w:rPr>
          <w:t xml:space="preserve">C43: Używanie właściwości CSS </w:t>
        </w:r>
        <w:proofErr w:type="spellStart"/>
        <w:r w:rsidRPr="00790B3C">
          <w:rPr>
            <w:rFonts w:ascii="Times New Roman" w:eastAsia="Times New Roman" w:hAnsi="Times New Roman" w:cs="Times New Roman"/>
            <w:color w:val="0000FF"/>
            <w:kern w:val="0"/>
            <w:sz w:val="24"/>
            <w:szCs w:val="24"/>
            <w:u w:val="single"/>
            <w:lang w:eastAsia="pl-PL"/>
            <w14:ligatures w14:val="none"/>
          </w:rPr>
          <w:t>scroll-padding</w:t>
        </w:r>
        <w:proofErr w:type="spellEnd"/>
        <w:r w:rsidRPr="00790B3C">
          <w:rPr>
            <w:rFonts w:ascii="Times New Roman" w:eastAsia="Times New Roman" w:hAnsi="Times New Roman" w:cs="Times New Roman"/>
            <w:color w:val="0000FF"/>
            <w:kern w:val="0"/>
            <w:sz w:val="24"/>
            <w:szCs w:val="24"/>
            <w:u w:val="single"/>
            <w:lang w:eastAsia="pl-PL"/>
            <w14:ligatures w14:val="none"/>
          </w:rPr>
          <w:t xml:space="preserve"> do odsłaniania ukrytej treści</w:t>
        </w:r>
      </w:hyperlink>
    </w:p>
    <w:p w14:paraId="44C9E9C4" w14:textId="77777777" w:rsidR="00790B3C" w:rsidRPr="00790B3C" w:rsidRDefault="00790B3C" w:rsidP="00790B3C">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790B3C">
        <w:rPr>
          <w:rFonts w:ascii="Times New Roman" w:eastAsia="Times New Roman" w:hAnsi="Times New Roman" w:cs="Times New Roman"/>
          <w:b/>
          <w:bCs/>
          <w:kern w:val="0"/>
          <w:sz w:val="27"/>
          <w:szCs w:val="27"/>
          <w:lang w:eastAsia="pl-PL"/>
          <w14:ligatures w14:val="none"/>
        </w:rPr>
        <w:t>Błędy</w:t>
      </w:r>
    </w:p>
    <w:p w14:paraId="1119E889" w14:textId="77777777" w:rsidR="00790B3C" w:rsidRPr="00790B3C" w:rsidRDefault="00790B3C" w:rsidP="00790B3C">
      <w:pPr>
        <w:spacing w:before="240" w:after="24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Poniżej przedstawiono typowe błędy, które Grupa Robocza WCAG uważa za naruszenia tego kryterium sukcesu.</w:t>
      </w:r>
    </w:p>
    <w:p w14:paraId="29FA8B90" w14:textId="77777777" w:rsidR="00790B3C" w:rsidRPr="00790B3C" w:rsidRDefault="00790B3C" w:rsidP="00790B3C">
      <w:pPr>
        <w:numPr>
          <w:ilvl w:val="0"/>
          <w:numId w:val="11"/>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Interakcja, która powoduje wyświetlenie treści nad komponentem z fokusem klawiatury, wizualnie zakrywając część wskaźnika fokusu. Takie zachowanie można spotkać w przypadku materiałów reklamowych lub promocyjnych, których celem jest dostarczenie większej ilości informacji o produkcie, gdy użytkownik porusza się po katalogu.</w:t>
      </w:r>
    </w:p>
    <w:p w14:paraId="0BC8EB35" w14:textId="77777777" w:rsidR="00790B3C" w:rsidRPr="00790B3C" w:rsidRDefault="00790B3C" w:rsidP="00790B3C">
      <w:pPr>
        <w:numPr>
          <w:ilvl w:val="0"/>
          <w:numId w:val="11"/>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790B3C">
        <w:rPr>
          <w:rFonts w:ascii="Times New Roman" w:eastAsia="Times New Roman" w:hAnsi="Times New Roman" w:cs="Times New Roman"/>
          <w:kern w:val="0"/>
          <w:sz w:val="24"/>
          <w:szCs w:val="24"/>
          <w:lang w:eastAsia="pl-PL"/>
          <w14:ligatures w14:val="none"/>
        </w:rPr>
        <w:t>Strona ma przyklejoną stopkę (przymocowaną u dołu rzutni). Podczas przewijania strony w dół zaznaczony element jest częściowo ukryty w stopce, ponieważ treść w widocznym obszarze przewija się bez wystarczającego </w:t>
      </w:r>
      <w:hyperlink r:id="rId12" w:anchor="propdef-scroll-padding" w:history="1">
        <w:r w:rsidRPr="00790B3C">
          <w:rPr>
            <w:rFonts w:ascii="Times New Roman" w:eastAsia="Times New Roman" w:hAnsi="Times New Roman" w:cs="Times New Roman"/>
            <w:color w:val="0000FF"/>
            <w:kern w:val="0"/>
            <w:sz w:val="24"/>
            <w:szCs w:val="24"/>
            <w:u w:val="single"/>
            <w:lang w:eastAsia="pl-PL"/>
            <w14:ligatures w14:val="none"/>
          </w:rPr>
          <w:t>dopełnienia przewijania</w:t>
        </w:r>
      </w:hyperlink>
      <w:r w:rsidRPr="00790B3C">
        <w:rPr>
          <w:rFonts w:ascii="Times New Roman" w:eastAsia="Times New Roman" w:hAnsi="Times New Roman" w:cs="Times New Roman"/>
          <w:kern w:val="0"/>
          <w:sz w:val="24"/>
          <w:szCs w:val="24"/>
          <w:lang w:eastAsia="pl-PL"/>
          <w14:ligatures w14:val="none"/>
        </w:rPr>
        <w:t>.</w:t>
      </w:r>
    </w:p>
    <w:p w14:paraId="13FB8C59" w14:textId="77777777" w:rsidR="00CD7227" w:rsidRPr="00790B3C" w:rsidRDefault="00CD7227" w:rsidP="00790B3C"/>
    <w:sectPr w:rsidR="00CD7227" w:rsidRPr="00790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2"/>
  </w:num>
  <w:num w:numId="2" w16cid:durableId="2029331695">
    <w:abstractNumId w:val="3"/>
  </w:num>
  <w:num w:numId="3" w16cid:durableId="636110317">
    <w:abstractNumId w:val="4"/>
  </w:num>
  <w:num w:numId="4" w16cid:durableId="280311035">
    <w:abstractNumId w:val="7"/>
  </w:num>
  <w:num w:numId="5" w16cid:durableId="469129536">
    <w:abstractNumId w:val="6"/>
  </w:num>
  <w:num w:numId="6" w16cid:durableId="1001735461">
    <w:abstractNumId w:val="5"/>
  </w:num>
  <w:num w:numId="7" w16cid:durableId="1567109053">
    <w:abstractNumId w:val="8"/>
  </w:num>
  <w:num w:numId="8" w16cid:durableId="1945922949">
    <w:abstractNumId w:val="0"/>
  </w:num>
  <w:num w:numId="9" w16cid:durableId="2075276303">
    <w:abstractNumId w:val="10"/>
  </w:num>
  <w:num w:numId="10" w16cid:durableId="2122793514">
    <w:abstractNumId w:val="9"/>
  </w:num>
  <w:num w:numId="11" w16cid:durableId="88541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F456F"/>
    <w:rsid w:val="00121A26"/>
    <w:rsid w:val="0031260C"/>
    <w:rsid w:val="00582CAD"/>
    <w:rsid w:val="00790B3C"/>
    <w:rsid w:val="00CD7227"/>
    <w:rsid w:val="00DF3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understanding/focus-appearan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TR/css-scroll-snap/" TargetMode="External"/><Relationship Id="rId12" Type="http://schemas.openxmlformats.org/officeDocument/2006/relationships/hyperlink" Target="https://www.w3.org/TR/css-scroll-sn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github\objasnienia\WCAG-22_KS-2412.html" TargetMode="External"/><Relationship Id="rId11" Type="http://schemas.openxmlformats.org/officeDocument/2006/relationships/hyperlink" Target="https://www.w3.org/WAI/WCAG22/Techniques/css/C43" TargetMode="External"/><Relationship Id="rId5" Type="http://schemas.openxmlformats.org/officeDocument/2006/relationships/hyperlink" Target="file:///D:\github\objasnienia\word\WCAG-22_KS-2412.html" TargetMode="External"/><Relationship Id="rId10" Type="http://schemas.openxmlformats.org/officeDocument/2006/relationships/hyperlink" Target="https://www.w3.org/WAI/WCAG22/Understanding/understanding-techniques" TargetMode="External"/><Relationship Id="rId4" Type="http://schemas.openxmlformats.org/officeDocument/2006/relationships/webSettings" Target="webSettings.xml"/><Relationship Id="rId9" Type="http://schemas.openxmlformats.org/officeDocument/2006/relationships/hyperlink" Target="https://www.w3.org/TR/css-scroll-sna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5472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2024-01-09T02:16:00Z</dcterms:created>
  <dcterms:modified xsi:type="dcterms:W3CDTF">2024-01-09T02:16:00Z</dcterms:modified>
</cp:coreProperties>
</file>